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7B4BC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763B0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7B4BC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19</w:t>
      </w:r>
      <w:r w:rsidR="006150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Готовимся к итоговой проверочной работе! 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 правила (устно)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5, Тема 2;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7, Тема 2;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10, задание N19;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11, задание N21;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14, Тема 9;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26, задание N49.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Выполнить задание (письменно):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28, задания N1-4, 7-10.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Хлопать ритм: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2, задание N3.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петь наизусть и тактировать упражнение на стр. 32, N66 “Ах ты, берёза” (цветная обложка) и на стр. 24, N57 (серая обложка). В мелодии найти известные мелодические обороты. </w:t>
            </w:r>
          </w:p>
          <w:p w:rsidR="000C3938" w:rsidRPr="005C67E0" w:rsidRDefault="00E04059" w:rsidP="00E040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редакция учебника. В ней: стр. 29, N57.</w:t>
            </w:r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5C67E0" w:rsidRDefault="007B4BC5" w:rsidP="000C3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Сухотина. Стр.35, стр.38 – задания.</w:t>
            </w:r>
          </w:p>
        </w:tc>
      </w:tr>
      <w:tr w:rsidR="002771D8" w:rsidRPr="00EF3A18" w:rsidTr="007A6071">
        <w:trPr>
          <w:trHeight w:val="646"/>
        </w:trPr>
        <w:tc>
          <w:tcPr>
            <w:tcW w:w="965" w:type="dxa"/>
            <w:vMerge w:val="restart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(8)</w:t>
            </w:r>
          </w:p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771D8" w:rsidRPr="001D605B" w:rsidRDefault="002771D8" w:rsidP="002771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2771D8" w:rsidRDefault="002771D8" w:rsidP="002771D8"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Учебник «Сольфеджио» Ж. </w:t>
            </w:r>
            <w:proofErr w:type="spellStart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стр.63 No155 наизусть петь и тактировать, подготовиться к контрольной работе, знать все интервалы, минорное и мажорное трезвучие, виды минора и параллельные тональности</w:t>
            </w:r>
            <w:r>
              <w:rPr>
                <w:sz w:val="27"/>
                <w:szCs w:val="27"/>
              </w:rPr>
              <w:br/>
            </w:r>
          </w:p>
        </w:tc>
      </w:tr>
      <w:tr w:rsidR="002771D8" w:rsidRPr="00EF3A18" w:rsidTr="007A6071">
        <w:trPr>
          <w:trHeight w:val="565"/>
        </w:trPr>
        <w:tc>
          <w:tcPr>
            <w:tcW w:w="965" w:type="dxa"/>
            <w:vMerge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2771D8" w:rsidRPr="001D605B" w:rsidRDefault="002771D8" w:rsidP="002771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2771D8" w:rsidRDefault="002771D8" w:rsidP="002771D8"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раб. Т. Стр.53 читать.</w:t>
            </w:r>
          </w:p>
        </w:tc>
      </w:tr>
      <w:tr w:rsidR="00B257BE" w:rsidRPr="00EF3A18" w:rsidTr="009C6C37">
        <w:trPr>
          <w:trHeight w:val="2117"/>
        </w:trPr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F2988" w:rsidRDefault="009C6C37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763B02">
              <w:rPr>
                <w:rFonts w:ascii="Times New Roman" w:hAnsi="Times New Roman" w:cs="Times New Roman"/>
                <w:sz w:val="28"/>
                <w:szCs w:val="28"/>
              </w:rPr>
              <w:t>отовиться</w:t>
            </w:r>
            <w:proofErr w:type="spellEnd"/>
            <w:r w:rsidR="00763B02">
              <w:rPr>
                <w:rFonts w:ascii="Times New Roman" w:hAnsi="Times New Roman" w:cs="Times New Roman"/>
                <w:sz w:val="28"/>
                <w:szCs w:val="28"/>
              </w:rPr>
              <w:t xml:space="preserve"> к контрольному уроку.</w:t>
            </w:r>
          </w:p>
          <w:p w:rsidR="00763B02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Т53, Т6, Т64. Интервалы. Знать строение аккордов: Б53, Б6, Б64, М53, М6, М64.</w:t>
            </w:r>
          </w:p>
          <w:p w:rsidR="00763B02" w:rsidRPr="005C7CDE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упражнения: 190, 200,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236, 243,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FB5C2E" w:rsidRDefault="00B50BC6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B5C2E">
              <w:rPr>
                <w:rFonts w:ascii="Times New Roman" w:hAnsi="Times New Roman" w:cs="Times New Roman"/>
                <w:sz w:val="28"/>
                <w:szCs w:val="28"/>
              </w:rPr>
              <w:t>тональности с одним, двумя, тремя знаками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C37" w:rsidRPr="001D605B" w:rsidRDefault="00127E59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Default="009C6C37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тему №3 (вокальные тембры голосов, вокальные жанры)</w:t>
            </w:r>
          </w:p>
          <w:p w:rsidR="00B50BC6" w:rsidRPr="001D605B" w:rsidRDefault="00B50BC6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9C6C37" w:rsidRPr="009C6C37" w:rsidRDefault="009C6C37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контрольному уроку. Повторить Т53-Т6-Т64, Т53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разрешением, тритоны с разрешением</w:t>
            </w:r>
          </w:p>
          <w:p w:rsidR="00B50BC6" w:rsidRDefault="00A64F9D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>. Давыдова «Сольфеджио» 4 класс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 xml:space="preserve"> упр.293-петь двухголосно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 xml:space="preserve"> (сдать всем), повторить наизусть упр.289.</w:t>
            </w:r>
          </w:p>
          <w:p w:rsidR="00B50BC6" w:rsidRDefault="00B50BC6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с одним, двумя, тремя,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знаками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C9A" w:rsidRPr="00D55879" w:rsidRDefault="003A1C9A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127E59" w:rsidRDefault="007B4BC5" w:rsidP="0098200F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слов: опера, либретто, увертюра, действия, номера, пролог, эпилог, ария, каватина, речитатив.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BA1F53" w:rsidRDefault="009C6C37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Подготовиться к контрольному уроку. Повторить</w:t>
            </w:r>
            <w:r w:rsidR="00BA1F53">
              <w:rPr>
                <w:rFonts w:ascii="Times New Roman" w:hAnsi="Times New Roman"/>
                <w:sz w:val="28"/>
                <w:szCs w:val="28"/>
              </w:rPr>
              <w:t xml:space="preserve"> бук</w:t>
            </w:r>
            <w:r>
              <w:rPr>
                <w:rFonts w:ascii="Times New Roman" w:hAnsi="Times New Roman"/>
                <w:sz w:val="28"/>
                <w:szCs w:val="28"/>
              </w:rPr>
              <w:t>венное обозначение тональностей, Д7 с обращениями, аккорды в тональности, тритоны с разрешением</w:t>
            </w:r>
          </w:p>
          <w:p w:rsidR="00127E59" w:rsidRDefault="00B508F4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BA1F53">
              <w:rPr>
                <w:rFonts w:ascii="Times New Roman" w:hAnsi="Times New Roman"/>
                <w:sz w:val="28"/>
                <w:szCs w:val="28"/>
              </w:rPr>
              <w:t xml:space="preserve">-упр.280-петь наизусть;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A1F53">
              <w:rPr>
                <w:rFonts w:ascii="Times New Roman" w:hAnsi="Times New Roman"/>
                <w:sz w:val="28"/>
                <w:szCs w:val="28"/>
              </w:rPr>
              <w:t>224, 235,</w:t>
            </w:r>
            <w:r w:rsidR="00FF5303">
              <w:rPr>
                <w:rFonts w:ascii="Times New Roman" w:hAnsi="Times New Roman"/>
                <w:sz w:val="28"/>
                <w:szCs w:val="28"/>
              </w:rPr>
              <w:t>230</w:t>
            </w:r>
            <w:r w:rsidR="003A1C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8C4">
              <w:rPr>
                <w:rFonts w:ascii="Times New Roman" w:hAnsi="Times New Roman"/>
                <w:sz w:val="28"/>
                <w:szCs w:val="28"/>
              </w:rPr>
              <w:t>петь двухголосно, сдать всем.</w:t>
            </w:r>
          </w:p>
          <w:p w:rsidR="00127E59" w:rsidRDefault="00127E59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«Домашние задания по сольфеджио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.»-зад. 66 «Зеркало»-игр</w:t>
            </w:r>
            <w:r w:rsidR="00FF5303">
              <w:rPr>
                <w:rFonts w:ascii="Times New Roman" w:hAnsi="Times New Roman"/>
                <w:sz w:val="28"/>
                <w:szCs w:val="28"/>
              </w:rPr>
              <w:t xml:space="preserve">ать аккомпанемент, петь мелодию (сдать </w:t>
            </w:r>
            <w:r w:rsidR="00EA38C4">
              <w:rPr>
                <w:rFonts w:ascii="Times New Roman" w:hAnsi="Times New Roman"/>
                <w:sz w:val="28"/>
                <w:szCs w:val="28"/>
              </w:rPr>
              <w:t>всем</w:t>
            </w:r>
            <w:bookmarkStart w:id="0" w:name="_GoBack"/>
            <w:bookmarkEnd w:id="0"/>
            <w:r w:rsidR="00FF53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08F4" w:rsidRPr="00931C6A" w:rsidRDefault="003A1C9A" w:rsidP="00127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знаки в тональностях</w:t>
            </w:r>
            <w:r w:rsidR="00BA1F53">
              <w:rPr>
                <w:rFonts w:ascii="Times New Roman" w:hAnsi="Times New Roman" w:cs="Times New Roman"/>
                <w:sz w:val="28"/>
                <w:szCs w:val="28"/>
              </w:rPr>
              <w:t xml:space="preserve"> (1-5)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FB7EC0" w:rsidRPr="00127E59" w:rsidRDefault="007B4BC5" w:rsidP="00D91E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музыкальной викторине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</w:p>
        </w:tc>
      </w:tr>
      <w:tr w:rsidR="00E04059" w:rsidRPr="00EF3A18" w:rsidTr="007A6071">
        <w:tc>
          <w:tcPr>
            <w:tcW w:w="965" w:type="dxa"/>
            <w:vMerge w:val="restart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E04059" w:rsidRPr="006F0CBB" w:rsidRDefault="00E04059" w:rsidP="00E04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5"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E04059" w:rsidRPr="00EF3A18" w:rsidTr="007A6071">
        <w:tc>
          <w:tcPr>
            <w:tcW w:w="965" w:type="dxa"/>
            <w:vMerge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E04059" w:rsidRPr="00545C4A" w:rsidRDefault="00E04059" w:rsidP="00E040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Романсы и песни Даргомыжского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B508F4" w:rsidRPr="003A1C9A" w:rsidRDefault="002771D8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Подготовиться к контрольной работе по темам лады народной музыки, мелодический мажор, септаккорд второй ступени, вводный септаккорд. Учебник стр. </w:t>
            </w:r>
            <w:proofErr w:type="gramStart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56  номер</w:t>
            </w:r>
            <w:proofErr w:type="gram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133 наизусть петь. Сочинить мелодию во фригийском или дорийском ладу кто не сдал, правильно оформить.</w:t>
            </w: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B508F4" w:rsidRPr="00785894" w:rsidRDefault="007B4BC5" w:rsidP="00F44B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тетрадь Панова 2 часть стр.22-23 вопросы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Первая симфония»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4F" w:rsidRPr="00EF3A18" w:rsidTr="007A6071">
        <w:tc>
          <w:tcPr>
            <w:tcW w:w="965" w:type="dxa"/>
            <w:vMerge w:val="restart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7E63D4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2C1B4F" w:rsidRPr="00BF7B0E" w:rsidTr="007A6071">
        <w:tc>
          <w:tcPr>
            <w:tcW w:w="965" w:type="dxa"/>
            <w:vMerge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154906" w:rsidRDefault="002C1B4F" w:rsidP="002C1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BE6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27E59"/>
    <w:rsid w:val="00134CC4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771D8"/>
    <w:rsid w:val="002837C8"/>
    <w:rsid w:val="00286B7D"/>
    <w:rsid w:val="002911A6"/>
    <w:rsid w:val="002C0827"/>
    <w:rsid w:val="002C1B4F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7E0"/>
    <w:rsid w:val="005C6AFB"/>
    <w:rsid w:val="005C7B50"/>
    <w:rsid w:val="005C7CDE"/>
    <w:rsid w:val="005F3595"/>
    <w:rsid w:val="005F4C3C"/>
    <w:rsid w:val="00605ADB"/>
    <w:rsid w:val="00612BF8"/>
    <w:rsid w:val="00615042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63B02"/>
    <w:rsid w:val="007718EE"/>
    <w:rsid w:val="00773AC3"/>
    <w:rsid w:val="007814B2"/>
    <w:rsid w:val="00785894"/>
    <w:rsid w:val="00791028"/>
    <w:rsid w:val="007A58B0"/>
    <w:rsid w:val="007A6071"/>
    <w:rsid w:val="007B25EF"/>
    <w:rsid w:val="007B4BC5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C6C37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0BC6"/>
    <w:rsid w:val="00B54FD2"/>
    <w:rsid w:val="00B65D3C"/>
    <w:rsid w:val="00B82C4E"/>
    <w:rsid w:val="00B90CCB"/>
    <w:rsid w:val="00B95D38"/>
    <w:rsid w:val="00BA1F53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91EE4"/>
    <w:rsid w:val="00DC2734"/>
    <w:rsid w:val="00DD1015"/>
    <w:rsid w:val="00DF2D20"/>
    <w:rsid w:val="00DF6408"/>
    <w:rsid w:val="00E04059"/>
    <w:rsid w:val="00E06AA8"/>
    <w:rsid w:val="00E06E7E"/>
    <w:rsid w:val="00E24352"/>
    <w:rsid w:val="00E37F3A"/>
    <w:rsid w:val="00E471BD"/>
    <w:rsid w:val="00E55390"/>
    <w:rsid w:val="00E57433"/>
    <w:rsid w:val="00E61ED8"/>
    <w:rsid w:val="00E65CC9"/>
    <w:rsid w:val="00E82581"/>
    <w:rsid w:val="00EA38C4"/>
    <w:rsid w:val="00EA4BF9"/>
    <w:rsid w:val="00EA693C"/>
    <w:rsid w:val="00EB472B"/>
    <w:rsid w:val="00EC1293"/>
    <w:rsid w:val="00EC1329"/>
    <w:rsid w:val="00EC7CCB"/>
    <w:rsid w:val="00ED27B7"/>
    <w:rsid w:val="00ED2FF1"/>
    <w:rsid w:val="00EF3A18"/>
    <w:rsid w:val="00EF6877"/>
    <w:rsid w:val="00F1663C"/>
    <w:rsid w:val="00F417A1"/>
    <w:rsid w:val="00F44B4D"/>
    <w:rsid w:val="00F55FA0"/>
    <w:rsid w:val="00F612A6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5C2E"/>
    <w:rsid w:val="00FB786E"/>
    <w:rsid w:val="00FB7EC0"/>
    <w:rsid w:val="00FD6442"/>
    <w:rsid w:val="00FE7C0F"/>
    <w:rsid w:val="00FF15C4"/>
    <w:rsid w:val="00FF5303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A957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153</cp:revision>
  <cp:lastPrinted>2023-12-16T03:55:00Z</cp:lastPrinted>
  <dcterms:created xsi:type="dcterms:W3CDTF">2021-09-10T09:07:00Z</dcterms:created>
  <dcterms:modified xsi:type="dcterms:W3CDTF">2025-05-06T10:48:00Z</dcterms:modified>
</cp:coreProperties>
</file>